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Искане за достъп до лични данни (чл. 15 от Регламент (ЕС) 2016/679)</w:t>
      </w:r>
    </w:p>
    <w:p>
      <w:r>
        <w:t>С това искане физическо лице иска от администратор на лични данни (организация, фирма, училище) да потвърди дали обработва негови данни и да му предостави копие от тях и информацията по чл. 15 от Общия регламент относно защитата на данните (GDPR). Администраторът отговаря без ненужно забавяне и най-късно до един месец (чл. 12, пар. 3); срокът може да се удължи с още два месеца при сложни или многобройни искания, като ви уведомят.</w:t>
      </w:r>
    </w:p>
    <w:p>
      <w:r>
        <w:rPr>
          <w:b/>
        </w:rPr>
        <w:t xml:space="preserve">До (наименование на администратора, адрес или имейл за връзка, длъжностно лице по защита на данните, ако има): </w:t>
      </w:r>
      <w:r>
        <w:t>________________________________________</w:t>
      </w:r>
    </w:p>
    <w:p>
      <w:r>
        <w:rPr>
          <w:b/>
        </w:rPr>
        <w:t xml:space="preserve">Име на заявителя: </w:t>
      </w:r>
      <w:r>
        <w:t>________________________________________</w:t>
      </w:r>
    </w:p>
    <w:p>
      <w:r>
        <w:rPr>
          <w:b/>
        </w:rPr>
        <w:t xml:space="preserve">Данни за връзка (адрес, имейл, телефон): </w:t>
      </w:r>
      <w:r>
        <w:t>________________________________________</w:t>
      </w:r>
    </w:p>
    <w:p>
      <w:r>
        <w:rPr>
          <w:b/>
        </w:rPr>
        <w:t xml:space="preserve">Данни, по които администраторът да ви идентифицира (напр. номер на членска карта, договор, имейл, ползван при регистрация): </w:t>
      </w:r>
      <w:r>
        <w:t>________________________________________</w:t>
      </w:r>
    </w:p>
    <w:p>
      <w:pPr>
        <w:pStyle w:val="Heading2"/>
      </w:pPr>
      <w:r>
        <w:t>Искам да получа</w:t>
      </w:r>
    </w:p>
    <w:p>
      <w:pPr>
        <w:pStyle w:val="ListBullet"/>
      </w:pPr>
      <w:r>
        <w:t>потвърждение дали обработвате мои лични данни;</w:t>
      </w:r>
    </w:p>
    <w:p>
      <w:pPr>
        <w:pStyle w:val="ListBullet"/>
      </w:pPr>
      <w:r>
        <w:t>копие от личните данни, които обработвате;</w:t>
      </w:r>
    </w:p>
    <w:p>
      <w:pPr>
        <w:pStyle w:val="ListBullet"/>
      </w:pPr>
      <w:r>
        <w:t>целите на обработването и категориите данни;</w:t>
      </w:r>
    </w:p>
    <w:p>
      <w:pPr>
        <w:pStyle w:val="ListBullet"/>
      </w:pPr>
      <w:r>
        <w:t>получателите или категориите получатели, включително в трети държави;</w:t>
      </w:r>
    </w:p>
    <w:p>
      <w:pPr>
        <w:pStyle w:val="ListBullet"/>
      </w:pPr>
      <w:r>
        <w:t>срока за съхранение или критериите за определянето му;</w:t>
      </w:r>
    </w:p>
    <w:p>
      <w:pPr>
        <w:pStyle w:val="ListBullet"/>
      </w:pPr>
      <w:r>
        <w:t>източника на данните, ако не са събрани от мен;</w:t>
      </w:r>
    </w:p>
    <w:p>
      <w:pPr>
        <w:pStyle w:val="ListBullet"/>
      </w:pPr>
      <w:r>
        <w:t>дали има автоматизирано вземане на решения, включително профилиране.</w:t>
      </w:r>
    </w:p>
    <w:p>
      <w:r>
        <w:rPr>
          <w:b/>
        </w:rPr>
        <w:t xml:space="preserve">Предпочитан начин за получаване на отговора (на хартия / по имейл): </w:t>
      </w:r>
      <w:r>
        <w:t>________________________________________</w:t>
      </w:r>
    </w:p>
    <w:p>
      <w:r>
        <w:t>Знам, че мога да подам жалба до Комисията за защита на личните данни (cpdp.bg), ако не получа отговор в срок.</w:t>
      </w:r>
    </w:p>
    <w:p>
      <w:r>
        <w:rPr>
          <w:b/>
        </w:rPr>
        <w:t xml:space="preserve">Дата и подпис: </w:t>
      </w:r>
      <w:r>
        <w:t>________________________________________</w:t>
      </w:r>
    </w:p>
    <w:p/>
    <w:p>
      <w:r>
        <w:rPr>
          <w:sz w:val="16"/>
        </w:rPr>
        <w:t>Шаблон от „Отворени покани“ (tsotsorkovfoundation.bg). Свободен за ползване и промяна. Не е правна консултация.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Искане за достъп до лични данни (чл. 15 от Регламент (ЕС) 2016/679)</dc:title>
  <dc:subject/>
  <dc:creator>Отворени покани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