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Искане за упражняване на права по Регламент (ЕС) 2016/679</w:t>
      </w:r>
    </w:p>
    <w:p>
      <w:r>
        <w:t>Шаблон за искане към администратор на лични данни за поправка, изтриване, ограничаване, преносимост или възражение (чл. 16-21 от GDPR). Отбележете правото, което упражнявате, и опишете конкретно какво искате. Срокът за отговор е един месец (чл. 12, пар. 3), с възможно удължаване с още два месеца.</w:t>
      </w:r>
    </w:p>
    <w:p>
      <w:r>
        <w:rPr>
          <w:b/>
        </w:rPr>
        <w:t xml:space="preserve">До (наименование и адрес на администратора): </w:t>
      </w:r>
      <w:r>
        <w:t>________________________________________</w:t>
      </w:r>
    </w:p>
    <w:p>
      <w:r>
        <w:rPr>
          <w:b/>
        </w:rPr>
        <w:t xml:space="preserve">Име на заявителя и данни за връзка: </w:t>
      </w:r>
      <w:r>
        <w:t>________________________________________</w:t>
      </w:r>
    </w:p>
    <w:p>
      <w:r>
        <w:rPr>
          <w:b/>
        </w:rPr>
        <w:t xml:space="preserve">Данни за идентифициране при администратора: </w:t>
      </w:r>
      <w:r>
        <w:t>________________________________________</w:t>
      </w:r>
    </w:p>
    <w:p>
      <w:pPr>
        <w:pStyle w:val="Heading2"/>
      </w:pPr>
      <w:r>
        <w:t>Упражнявам правото на</w:t>
      </w:r>
    </w:p>
    <w:p>
      <w:pPr>
        <w:pStyle w:val="ListBullet"/>
      </w:pPr>
      <w:r>
        <w:t>☐ поправка на неточни данни (чл. 16): кои данни и какви са верните;</w:t>
      </w:r>
    </w:p>
    <w:p>
      <w:pPr>
        <w:pStyle w:val="ListBullet"/>
      </w:pPr>
      <w:r>
        <w:t>☐ изтриване („право да бъдеш забравен“, чл. 17): кои данни и на какво основание;</w:t>
      </w:r>
    </w:p>
    <w:p>
      <w:pPr>
        <w:pStyle w:val="ListBullet"/>
      </w:pPr>
      <w:r>
        <w:t>☐ ограничаване на обработването (чл. 18);</w:t>
      </w:r>
    </w:p>
    <w:p>
      <w:pPr>
        <w:pStyle w:val="ListBullet"/>
      </w:pPr>
      <w:r>
        <w:t>☐ преносимост на данните (чл. 20): в структуриран, машинно четим формат;</w:t>
      </w:r>
    </w:p>
    <w:p>
      <w:pPr>
        <w:pStyle w:val="ListBullet"/>
      </w:pPr>
      <w:r>
        <w:t>☐ възражение срещу обработването (чл. 21), включително срещу директен маркетинг;</w:t>
      </w:r>
    </w:p>
    <w:p>
      <w:pPr>
        <w:pStyle w:val="ListBullet"/>
      </w:pPr>
      <w:r>
        <w:t>☐ оттегляне на съгласие (чл. 7, пар. 3), ако обработването е на основание съгласие.</w:t>
      </w:r>
    </w:p>
    <w:p>
      <w:r>
        <w:rPr>
          <w:b/>
        </w:rPr>
        <w:t xml:space="preserve">Описание на искането: </w:t>
      </w:r>
      <w:r>
        <w:t>________________________________________</w:t>
      </w:r>
    </w:p>
    <w:p>
      <w:r>
        <w:rPr>
          <w:b/>
        </w:rPr>
        <w:t xml:space="preserve">Предпочитан начин за отговор: </w:t>
      </w:r>
      <w:r>
        <w:t>________________________________________</w:t>
      </w:r>
    </w:p>
    <w:p>
      <w:r>
        <w:rPr>
          <w:b/>
        </w:rPr>
        <w:t xml:space="preserve">Дата и подпис: </w:t>
      </w:r>
      <w:r>
        <w:t>________________________________________</w:t>
      </w:r>
    </w:p>
    <w:p>
      <w:pPr>
        <w:pStyle w:val="Heading2"/>
      </w:pPr>
      <w:r>
        <w:t>За организацията, която получава искането</w:t>
      </w:r>
    </w:p>
    <w:p>
      <w:pPr>
        <w:pStyle w:val="ListBullet"/>
      </w:pPr>
      <w:r>
        <w:t>Впишете искането в регистър с дата на получаване.</w:t>
      </w:r>
    </w:p>
    <w:p>
      <w:pPr>
        <w:pStyle w:val="ListBullet"/>
      </w:pPr>
      <w:r>
        <w:t>Проверете самоличността на заявителя, без да искате повече данни от необходимото.</w:t>
      </w:r>
    </w:p>
    <w:p>
      <w:pPr>
        <w:pStyle w:val="ListBullet"/>
      </w:pPr>
      <w:r>
        <w:t>Отговорете писмено в срок; ако откажете, посочете причините и правото на жалба до КЗЛД и до съда.</w:t>
      </w:r>
    </w:p>
    <w:p/>
    <w:p>
      <w:r>
        <w:rPr>
          <w:sz w:val="16"/>
        </w:rPr>
        <w:t>Шаблон от „Отворени покани“ (tsotsorkovfoundation.bg). Свободен за ползване и промяна. Не е правна консултация.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Искане за упражняване на права по Регламент (ЕС) 2016/679</dc:title>
  <dc:subject/>
  <dc:creator>Отворени покани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